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C82E" w14:textId="03C1EDE8" w:rsidR="005F56F5" w:rsidRDefault="005F56F5" w:rsidP="00CA22D0">
      <w:pPr>
        <w:pStyle w:val="a3"/>
        <w:jc w:val="both"/>
        <w:rPr>
          <w:sz w:val="20"/>
        </w:rPr>
      </w:pPr>
    </w:p>
    <w:p w14:paraId="030082D6" w14:textId="357C009E" w:rsidR="005F56F5" w:rsidRPr="00CA22D0" w:rsidRDefault="00F5439F" w:rsidP="00CA22D0">
      <w:pPr>
        <w:pStyle w:val="a4"/>
        <w:jc w:val="both"/>
        <w:rPr>
          <w:lang w:val="ru-RU"/>
        </w:rPr>
      </w:pPr>
      <w:r w:rsidRPr="00CA22D0">
        <w:rPr>
          <w:lang w:val="ru"/>
        </w:rPr>
        <w:t xml:space="preserve">InfraScan объявляет о разрешении FDA на первое портативное диагностическое устройство для травматического кровоизлияния </w:t>
      </w:r>
      <w:r w:rsidR="00CA22D0" w:rsidRPr="00CA22D0">
        <w:rPr>
          <w:lang w:val="ru"/>
        </w:rPr>
        <w:t>в мозг</w:t>
      </w:r>
      <w:r w:rsidRPr="00CA22D0">
        <w:rPr>
          <w:lang w:val="ru"/>
        </w:rPr>
        <w:t xml:space="preserve"> у детей</w:t>
      </w:r>
    </w:p>
    <w:p w14:paraId="45A7F21B" w14:textId="58FDA61C" w:rsidR="005F56F5" w:rsidRPr="00CA22D0" w:rsidRDefault="00F5439F" w:rsidP="00CA22D0">
      <w:pPr>
        <w:spacing w:before="230"/>
        <w:ind w:left="100" w:right="403"/>
        <w:jc w:val="both"/>
        <w:rPr>
          <w:i/>
          <w:sz w:val="28"/>
          <w:lang w:val="ru-RU"/>
        </w:rPr>
      </w:pPr>
      <w:r w:rsidRPr="00CA22D0">
        <w:rPr>
          <w:i/>
          <w:sz w:val="28"/>
          <w:szCs w:val="28"/>
          <w:lang w:val="ru"/>
        </w:rPr>
        <w:t>InfraScanner в настоящее время является единственным портативным устройством, одобренным FDA для выявления травматического кровоизлияния</w:t>
      </w:r>
      <w:r w:rsidRPr="00CA22D0">
        <w:rPr>
          <w:sz w:val="28"/>
          <w:szCs w:val="28"/>
          <w:lang w:val="ru"/>
        </w:rPr>
        <w:t xml:space="preserve"> в мозг </w:t>
      </w:r>
      <w:r w:rsidR="00357FC6" w:rsidRPr="00CA22D0">
        <w:rPr>
          <w:sz w:val="28"/>
          <w:szCs w:val="28"/>
          <w:lang w:val="ru"/>
        </w:rPr>
        <w:t xml:space="preserve">у </w:t>
      </w:r>
      <w:r w:rsidR="00357FC6" w:rsidRPr="00CA22D0">
        <w:rPr>
          <w:i/>
          <w:sz w:val="28"/>
          <w:szCs w:val="28"/>
          <w:lang w:val="ru"/>
        </w:rPr>
        <w:t>детей</w:t>
      </w:r>
      <w:r>
        <w:rPr>
          <w:i/>
          <w:sz w:val="28"/>
          <w:lang w:val="ru"/>
        </w:rPr>
        <w:t>.</w:t>
      </w:r>
    </w:p>
    <w:p w14:paraId="56FFCFA6" w14:textId="77777777" w:rsidR="005F56F5" w:rsidRPr="00CA22D0" w:rsidRDefault="00F5439F" w:rsidP="00CA22D0">
      <w:pPr>
        <w:pStyle w:val="a3"/>
        <w:spacing w:before="230"/>
        <w:ind w:left="100" w:right="212"/>
        <w:jc w:val="both"/>
        <w:rPr>
          <w:sz w:val="22"/>
          <w:szCs w:val="22"/>
          <w:lang w:val="ru-RU"/>
        </w:rPr>
      </w:pPr>
      <w:r w:rsidRPr="00CA22D0">
        <w:rPr>
          <w:sz w:val="22"/>
          <w:szCs w:val="22"/>
          <w:lang w:val="ru"/>
        </w:rPr>
        <w:t>ФИЛАДЕЛЬФИЯ (</w:t>
      </w:r>
      <w:hyperlink r:id="rId6">
        <w:r w:rsidRPr="00CA22D0">
          <w:rPr>
            <w:color w:val="0000FF"/>
            <w:sz w:val="22"/>
            <w:szCs w:val="22"/>
            <w:u w:val="single" w:color="0000FF"/>
            <w:lang w:val="ru"/>
          </w:rPr>
          <w:t>PRWEB</w:t>
        </w:r>
      </w:hyperlink>
      <w:r w:rsidRPr="00CA22D0">
        <w:rPr>
          <w:sz w:val="22"/>
          <w:szCs w:val="22"/>
          <w:lang w:val="ru"/>
        </w:rPr>
        <w:t>) 17 февраля 2022 г. - InfraScan, фирма по производству медицинского оборудования, специализирующаяся на диагностических продуктах для диагностики черепно-мозговых травм, объявила сегодня о новом расширенном показании FDA. Расширенное показание включает применение Инфрасканера для выявления травматических супратенториальных гематом у взрослых, а теперь и у педиатрических пациентов в возрасте от 2 лет и старше.</w:t>
      </w:r>
    </w:p>
    <w:p w14:paraId="2ECDFBFB" w14:textId="77777777" w:rsidR="005F56F5" w:rsidRPr="00CA22D0" w:rsidRDefault="005F56F5" w:rsidP="00CA22D0">
      <w:pPr>
        <w:pStyle w:val="a3"/>
        <w:spacing w:before="11"/>
        <w:jc w:val="both"/>
        <w:rPr>
          <w:sz w:val="22"/>
          <w:szCs w:val="22"/>
          <w:lang w:val="ru-RU"/>
        </w:rPr>
      </w:pPr>
    </w:p>
    <w:p w14:paraId="2F489C82" w14:textId="1B1A0537" w:rsidR="005F56F5" w:rsidRPr="00CA22D0" w:rsidRDefault="00F5439F" w:rsidP="00CA22D0">
      <w:pPr>
        <w:pStyle w:val="a3"/>
        <w:ind w:left="100" w:right="266"/>
        <w:jc w:val="both"/>
        <w:rPr>
          <w:sz w:val="22"/>
          <w:szCs w:val="22"/>
          <w:lang w:val="ru-RU"/>
        </w:rPr>
      </w:pPr>
      <w:r w:rsidRPr="00CA22D0">
        <w:rPr>
          <w:sz w:val="22"/>
          <w:szCs w:val="22"/>
          <w:lang w:val="ru"/>
        </w:rPr>
        <w:t xml:space="preserve">«Мы рады сообщить, что FDA предоставило разрешение на использование технологии Infrascanner в педиатрической популяции в возрасте 2 лет и старше. Infrascanner в настоящее время является единственным портативным устройством в США.  Рынок здравоохранения, который очищен для использования в педиатрической популяции, чтобы помочь в диагностике пациентов с потенциальным травматическим кровоизлиянием в мозг», - сказал Барух Бен Дор, доктор философии, президент и генеральный директор InfraScan. «Infrascanner </w:t>
      </w:r>
      <w:proofErr w:type="gramStart"/>
      <w:r w:rsidRPr="00CA22D0">
        <w:rPr>
          <w:sz w:val="22"/>
          <w:szCs w:val="22"/>
          <w:lang w:val="ru"/>
        </w:rPr>
        <w:t>- это</w:t>
      </w:r>
      <w:proofErr w:type="gramEnd"/>
      <w:r w:rsidRPr="00CA22D0">
        <w:rPr>
          <w:sz w:val="22"/>
          <w:szCs w:val="22"/>
          <w:lang w:val="ru"/>
        </w:rPr>
        <w:t xml:space="preserve"> передовая технология, которая теперь может использоваться в качестве дополнительного актива для клиницистов, поскольку они </w:t>
      </w:r>
      <w:r w:rsidR="00CA22D0" w:rsidRPr="00CA22D0">
        <w:rPr>
          <w:sz w:val="22"/>
          <w:szCs w:val="22"/>
          <w:lang w:val="ru"/>
        </w:rPr>
        <w:t>следуют рекомендациям</w:t>
      </w:r>
      <w:r w:rsidRPr="00CA22D0">
        <w:rPr>
          <w:sz w:val="22"/>
          <w:szCs w:val="22"/>
          <w:lang w:val="ru"/>
        </w:rPr>
        <w:t xml:space="preserve"> PECARN в </w:t>
      </w:r>
      <w:r w:rsidR="00357FC6" w:rsidRPr="00CA22D0">
        <w:rPr>
          <w:sz w:val="22"/>
          <w:szCs w:val="22"/>
          <w:lang w:val="ru"/>
        </w:rPr>
        <w:t>своих оценках</w:t>
      </w:r>
      <w:r w:rsidRPr="00CA22D0">
        <w:rPr>
          <w:sz w:val="22"/>
          <w:szCs w:val="22"/>
          <w:lang w:val="ru"/>
        </w:rPr>
        <w:t xml:space="preserve"> педиатрических пациентов с умеренным риском».</w:t>
      </w:r>
    </w:p>
    <w:p w14:paraId="0FA8F647" w14:textId="77777777" w:rsidR="005F56F5" w:rsidRPr="00CA22D0" w:rsidRDefault="005F56F5" w:rsidP="00CA22D0">
      <w:pPr>
        <w:pStyle w:val="a3"/>
        <w:jc w:val="both"/>
        <w:rPr>
          <w:sz w:val="22"/>
          <w:szCs w:val="22"/>
          <w:lang w:val="ru-RU"/>
        </w:rPr>
      </w:pPr>
    </w:p>
    <w:p w14:paraId="5FFCCD78" w14:textId="658E5272" w:rsidR="005F56F5" w:rsidRPr="00CA22D0" w:rsidRDefault="00F5439F" w:rsidP="00CA22D0">
      <w:pPr>
        <w:pStyle w:val="a3"/>
        <w:ind w:left="100" w:right="182"/>
        <w:jc w:val="both"/>
        <w:rPr>
          <w:sz w:val="22"/>
          <w:szCs w:val="22"/>
          <w:lang w:val="ru-RU"/>
        </w:rPr>
      </w:pPr>
      <w:r w:rsidRPr="00CA22D0">
        <w:rPr>
          <w:sz w:val="22"/>
          <w:szCs w:val="22"/>
          <w:lang w:val="ru"/>
        </w:rPr>
        <w:t xml:space="preserve">InfraScan выражает благодарность Детской больнице Филадельфии (CHOP), Бостонской детской больнице, Детской больнице Колорадо, Отделению глобальной нейрохирургии и неврологии в Университете Дьюка, Медицинскому колледжу Бейлора и Детской больнице Питтсбурга за их целенаправленные исследования, которые помогли привести к этому объявлению. InfraScan также хочет отметить Консорциум педиатрических медицинских устройств </w:t>
      </w:r>
      <w:r w:rsidR="00CA22D0" w:rsidRPr="00CA22D0">
        <w:rPr>
          <w:sz w:val="22"/>
          <w:szCs w:val="22"/>
          <w:lang w:val="ru"/>
        </w:rPr>
        <w:t>Пенсильвании (</w:t>
      </w:r>
      <w:r w:rsidRPr="00CA22D0">
        <w:rPr>
          <w:sz w:val="22"/>
          <w:szCs w:val="22"/>
          <w:lang w:val="ru"/>
        </w:rPr>
        <w:t>ppdc.research.chop.edu) и Институт детской травмы Чайлдресс (saveinjuredkids.org) за их неоценимую поддержку во время этого новаторского исследования.</w:t>
      </w:r>
    </w:p>
    <w:p w14:paraId="00635FF8" w14:textId="77777777" w:rsidR="005F56F5" w:rsidRPr="00CA22D0" w:rsidRDefault="005F56F5" w:rsidP="00CA22D0">
      <w:pPr>
        <w:pStyle w:val="a3"/>
        <w:jc w:val="both"/>
        <w:rPr>
          <w:sz w:val="22"/>
          <w:szCs w:val="22"/>
          <w:lang w:val="ru-RU"/>
        </w:rPr>
      </w:pPr>
    </w:p>
    <w:p w14:paraId="7F656BBB" w14:textId="77777777" w:rsidR="005F56F5" w:rsidRPr="00CA22D0" w:rsidRDefault="00F5439F" w:rsidP="00CA22D0">
      <w:pPr>
        <w:pStyle w:val="a3"/>
        <w:ind w:left="100" w:right="469"/>
        <w:jc w:val="both"/>
        <w:rPr>
          <w:sz w:val="22"/>
          <w:szCs w:val="22"/>
          <w:lang w:val="ru-RU"/>
        </w:rPr>
      </w:pPr>
      <w:r w:rsidRPr="00CA22D0">
        <w:rPr>
          <w:sz w:val="22"/>
          <w:szCs w:val="22"/>
          <w:lang w:val="ru"/>
        </w:rPr>
        <w:t>InfraScan имеет более 1000 устройств, развернутых в США и на международном уровне, в том числе с некоторыми из ведущих мировых экспертов по травмам для взрослых и детей. InfraScan также лицензировала различные патенты, которые применяются к выявлению геморрагических и ишемических инсультов и мониторингу кровоизлияний в мозг.</w:t>
      </w:r>
    </w:p>
    <w:p w14:paraId="70E2DF71" w14:textId="77777777" w:rsidR="005F56F5" w:rsidRPr="00CA22D0" w:rsidRDefault="005F56F5" w:rsidP="00CA22D0">
      <w:pPr>
        <w:pStyle w:val="a3"/>
        <w:jc w:val="both"/>
        <w:rPr>
          <w:sz w:val="22"/>
          <w:szCs w:val="22"/>
          <w:lang w:val="ru-RU"/>
        </w:rPr>
      </w:pPr>
    </w:p>
    <w:p w14:paraId="491C2421" w14:textId="77777777" w:rsidR="003628C3" w:rsidRDefault="00F5439F" w:rsidP="003628C3">
      <w:pPr>
        <w:pStyle w:val="a3"/>
        <w:ind w:left="100"/>
        <w:jc w:val="both"/>
        <w:rPr>
          <w:sz w:val="22"/>
          <w:szCs w:val="22"/>
          <w:lang w:val="ru"/>
        </w:rPr>
      </w:pPr>
      <w:r w:rsidRPr="00CA22D0">
        <w:rPr>
          <w:sz w:val="22"/>
          <w:szCs w:val="22"/>
          <w:lang w:val="ru"/>
        </w:rPr>
        <w:t xml:space="preserve">Об </w:t>
      </w:r>
      <w:r w:rsidR="003628C3" w:rsidRPr="00CA22D0">
        <w:rPr>
          <w:sz w:val="22"/>
          <w:szCs w:val="22"/>
          <w:lang w:val="ru"/>
        </w:rPr>
        <w:t>InfraScan, Inc</w:t>
      </w:r>
      <w:r w:rsidR="003628C3" w:rsidRPr="00CA22D0">
        <w:rPr>
          <w:sz w:val="22"/>
          <w:szCs w:val="22"/>
          <w:lang w:val="ru"/>
        </w:rPr>
        <w:t xml:space="preserve"> </w:t>
      </w:r>
    </w:p>
    <w:p w14:paraId="6485A3C7" w14:textId="193609A1" w:rsidR="005F56F5" w:rsidRPr="00CA22D0" w:rsidRDefault="00F5439F" w:rsidP="003628C3">
      <w:pPr>
        <w:pStyle w:val="a3"/>
        <w:ind w:left="100"/>
        <w:jc w:val="both"/>
        <w:rPr>
          <w:sz w:val="22"/>
          <w:szCs w:val="22"/>
          <w:lang w:val="ru-RU"/>
        </w:rPr>
      </w:pPr>
      <w:r w:rsidRPr="00CA22D0">
        <w:rPr>
          <w:sz w:val="22"/>
          <w:szCs w:val="22"/>
          <w:lang w:val="ru"/>
        </w:rPr>
        <w:t xml:space="preserve">InfraScan, Inc. </w:t>
      </w:r>
      <w:r w:rsidR="00CA22D0" w:rsidRPr="00CA22D0">
        <w:rPr>
          <w:sz w:val="22"/>
          <w:szCs w:val="22"/>
          <w:lang w:val="ru"/>
        </w:rPr>
        <w:t>— это</w:t>
      </w:r>
      <w:r w:rsidRPr="00CA22D0">
        <w:rPr>
          <w:sz w:val="22"/>
          <w:szCs w:val="22"/>
          <w:lang w:val="ru"/>
        </w:rPr>
        <w:t xml:space="preserve"> компания по производству медицинского оборудования, которая фокусируется на разработке, коммерциализации и распространении портативных сканеров мозга для черепно-мозговых травм (ЧМТ) на основе технологий ближнего инфракрасного диапазона (NIR). Компания</w:t>
      </w:r>
      <w:r w:rsidRPr="00CA22D0">
        <w:rPr>
          <w:sz w:val="22"/>
          <w:szCs w:val="22"/>
        </w:rPr>
        <w:t xml:space="preserve"> </w:t>
      </w:r>
      <w:r w:rsidRPr="00CA22D0">
        <w:rPr>
          <w:sz w:val="22"/>
          <w:szCs w:val="22"/>
          <w:lang w:val="ru"/>
        </w:rPr>
        <w:t>получила</w:t>
      </w:r>
      <w:r w:rsidRPr="00CA22D0">
        <w:rPr>
          <w:sz w:val="22"/>
          <w:szCs w:val="22"/>
        </w:rPr>
        <w:t xml:space="preserve"> </w:t>
      </w:r>
      <w:r w:rsidRPr="00CA22D0">
        <w:rPr>
          <w:sz w:val="22"/>
          <w:szCs w:val="22"/>
          <w:lang w:val="ru"/>
        </w:rPr>
        <w:t>финансирование</w:t>
      </w:r>
      <w:r w:rsidRPr="00CA22D0">
        <w:rPr>
          <w:sz w:val="22"/>
          <w:szCs w:val="22"/>
        </w:rPr>
        <w:t xml:space="preserve"> </w:t>
      </w:r>
      <w:r w:rsidRPr="00CA22D0">
        <w:rPr>
          <w:sz w:val="22"/>
          <w:szCs w:val="22"/>
          <w:lang w:val="ru"/>
        </w:rPr>
        <w:t>от</w:t>
      </w:r>
      <w:r w:rsidRPr="00CA22D0">
        <w:rPr>
          <w:sz w:val="22"/>
          <w:szCs w:val="22"/>
        </w:rPr>
        <w:t xml:space="preserve"> U.S. Army Medical Materiel Development Activity, U.S. Marine Corps, Office of Naval Research, </w:t>
      </w:r>
      <w:proofErr w:type="spellStart"/>
      <w:r w:rsidRPr="00CA22D0">
        <w:rPr>
          <w:sz w:val="22"/>
          <w:szCs w:val="22"/>
        </w:rPr>
        <w:t>BioAdvance</w:t>
      </w:r>
      <w:proofErr w:type="spellEnd"/>
      <w:r w:rsidRPr="00CA22D0">
        <w:rPr>
          <w:sz w:val="22"/>
          <w:szCs w:val="22"/>
        </w:rPr>
        <w:t xml:space="preserve">, Biotechnology Greenhouse of Southeastern Pennsylvania, Ben Franklin Technology Partners </w:t>
      </w:r>
      <w:r w:rsidRPr="00CA22D0">
        <w:rPr>
          <w:sz w:val="22"/>
          <w:szCs w:val="22"/>
          <w:lang w:val="ru"/>
        </w:rPr>
        <w:t>из</w:t>
      </w:r>
      <w:r w:rsidRPr="00CA22D0">
        <w:rPr>
          <w:sz w:val="22"/>
          <w:szCs w:val="22"/>
        </w:rPr>
        <w:t xml:space="preserve"> </w:t>
      </w:r>
      <w:proofErr w:type="spellStart"/>
      <w:r w:rsidRPr="00CA22D0">
        <w:rPr>
          <w:sz w:val="22"/>
          <w:szCs w:val="22"/>
          <w:lang w:val="ru"/>
        </w:rPr>
        <w:t>Юго</w:t>
      </w:r>
      <w:proofErr w:type="spellEnd"/>
      <w:r w:rsidRPr="00CA22D0">
        <w:rPr>
          <w:sz w:val="22"/>
          <w:szCs w:val="22"/>
        </w:rPr>
        <w:t>-</w:t>
      </w:r>
      <w:r w:rsidRPr="00CA22D0">
        <w:rPr>
          <w:sz w:val="22"/>
          <w:szCs w:val="22"/>
          <w:lang w:val="ru"/>
        </w:rPr>
        <w:t>Восточной</w:t>
      </w:r>
      <w:r w:rsidRPr="00CA22D0">
        <w:rPr>
          <w:sz w:val="22"/>
          <w:szCs w:val="22"/>
        </w:rPr>
        <w:t xml:space="preserve"> </w:t>
      </w:r>
      <w:r w:rsidRPr="00CA22D0">
        <w:rPr>
          <w:sz w:val="22"/>
          <w:szCs w:val="22"/>
          <w:lang w:val="ru"/>
        </w:rPr>
        <w:t>Пенсильвании</w:t>
      </w:r>
      <w:r w:rsidRPr="00CA22D0">
        <w:rPr>
          <w:sz w:val="22"/>
          <w:szCs w:val="22"/>
        </w:rPr>
        <w:t xml:space="preserve"> </w:t>
      </w:r>
      <w:r w:rsidRPr="00CA22D0">
        <w:rPr>
          <w:sz w:val="22"/>
          <w:szCs w:val="22"/>
          <w:lang w:val="ru"/>
        </w:rPr>
        <w:t>и</w:t>
      </w:r>
      <w:r w:rsidRPr="00CA22D0">
        <w:rPr>
          <w:sz w:val="22"/>
          <w:szCs w:val="22"/>
        </w:rPr>
        <w:t xml:space="preserve"> </w:t>
      </w:r>
      <w:r w:rsidRPr="00CA22D0">
        <w:rPr>
          <w:sz w:val="22"/>
          <w:szCs w:val="22"/>
          <w:lang w:val="ru"/>
        </w:rPr>
        <w:t>от</w:t>
      </w:r>
      <w:r w:rsidRPr="00CA22D0">
        <w:rPr>
          <w:sz w:val="22"/>
          <w:szCs w:val="22"/>
        </w:rPr>
        <w:t xml:space="preserve"> Philadelphia Industrial Development Corporation. </w:t>
      </w:r>
      <w:r w:rsidRPr="00CA22D0">
        <w:rPr>
          <w:sz w:val="22"/>
          <w:szCs w:val="22"/>
          <w:lang w:val="ru"/>
        </w:rPr>
        <w:t xml:space="preserve">Для получения дополнительной информации посетите </w:t>
      </w:r>
      <w:hyperlink r:id="rId7">
        <w:r w:rsidRPr="00CA22D0">
          <w:rPr>
            <w:color w:val="0000FF"/>
            <w:sz w:val="22"/>
            <w:szCs w:val="22"/>
            <w:u w:val="single" w:color="0000FF"/>
            <w:lang w:val="ru"/>
          </w:rPr>
          <w:t>http://www.infrascanner.com</w:t>
        </w:r>
      </w:hyperlink>
      <w:r w:rsidRPr="00CA22D0">
        <w:rPr>
          <w:sz w:val="22"/>
          <w:szCs w:val="22"/>
          <w:lang w:val="ru"/>
        </w:rPr>
        <w:t xml:space="preserve"> и следуйте за нами @infrascanner.</w:t>
      </w:r>
    </w:p>
    <w:p w14:paraId="75E8F2A4" w14:textId="77777777" w:rsidR="005F56F5" w:rsidRPr="00CA22D0" w:rsidRDefault="005F56F5" w:rsidP="00CA22D0">
      <w:pPr>
        <w:pStyle w:val="a3"/>
        <w:jc w:val="both"/>
        <w:rPr>
          <w:sz w:val="22"/>
          <w:szCs w:val="22"/>
          <w:lang w:val="ru-RU"/>
        </w:rPr>
      </w:pPr>
    </w:p>
    <w:p w14:paraId="4C2BD8D6" w14:textId="77777777" w:rsidR="005F56F5" w:rsidRPr="00CA22D0" w:rsidRDefault="00F5439F" w:rsidP="00CA22D0">
      <w:pPr>
        <w:pStyle w:val="1"/>
        <w:spacing w:before="1"/>
        <w:jc w:val="both"/>
        <w:rPr>
          <w:sz w:val="22"/>
          <w:szCs w:val="22"/>
          <w:lang w:val="ru-RU"/>
        </w:rPr>
      </w:pPr>
      <w:r w:rsidRPr="00CA22D0">
        <w:rPr>
          <w:sz w:val="22"/>
          <w:szCs w:val="22"/>
          <w:lang w:val="ru"/>
        </w:rPr>
        <w:t>Контактная информация</w:t>
      </w:r>
    </w:p>
    <w:p w14:paraId="492A550B" w14:textId="77777777" w:rsidR="005F56F5" w:rsidRPr="00CA22D0" w:rsidRDefault="00F5439F" w:rsidP="00CA22D0">
      <w:pPr>
        <w:ind w:left="100"/>
        <w:jc w:val="both"/>
        <w:rPr>
          <w:b/>
          <w:lang w:val="ru-RU"/>
        </w:rPr>
      </w:pPr>
      <w:r w:rsidRPr="00CA22D0">
        <w:rPr>
          <w:b/>
          <w:lang w:val="ru"/>
        </w:rPr>
        <w:t xml:space="preserve">Дэвид Кларк, вице-президент по развитию бизнеса </w:t>
      </w:r>
    </w:p>
    <w:p w14:paraId="26B0782A" w14:textId="77777777" w:rsidR="003628C3" w:rsidRDefault="003628C3" w:rsidP="00CA22D0">
      <w:pPr>
        <w:pStyle w:val="a3"/>
        <w:ind w:left="100" w:right="8057"/>
        <w:jc w:val="both"/>
        <w:rPr>
          <w:sz w:val="22"/>
          <w:szCs w:val="22"/>
          <w:lang w:val="de-AT"/>
        </w:rPr>
      </w:pPr>
      <w:r w:rsidRPr="003628C3">
        <w:rPr>
          <w:sz w:val="22"/>
          <w:szCs w:val="22"/>
          <w:lang w:val="de-AT"/>
        </w:rPr>
        <w:t xml:space="preserve">InfraScan, </w:t>
      </w:r>
      <w:proofErr w:type="spellStart"/>
      <w:r w:rsidRPr="003628C3">
        <w:rPr>
          <w:sz w:val="22"/>
          <w:szCs w:val="22"/>
          <w:lang w:val="de-AT"/>
        </w:rPr>
        <w:t>Inc</w:t>
      </w:r>
      <w:proofErr w:type="spellEnd"/>
      <w:r w:rsidRPr="003628C3">
        <w:rPr>
          <w:sz w:val="22"/>
          <w:szCs w:val="22"/>
          <w:lang w:val="de-AT"/>
        </w:rPr>
        <w:t xml:space="preserve"> </w:t>
      </w:r>
    </w:p>
    <w:p w14:paraId="77CC0F38" w14:textId="77777777" w:rsidR="003628C3" w:rsidRDefault="002042A2" w:rsidP="00CA22D0">
      <w:pPr>
        <w:pStyle w:val="a3"/>
        <w:ind w:left="100" w:right="8057"/>
        <w:jc w:val="both"/>
        <w:rPr>
          <w:sz w:val="22"/>
          <w:szCs w:val="22"/>
          <w:lang w:val="de-AT"/>
        </w:rPr>
      </w:pPr>
      <w:hyperlink r:id="rId8">
        <w:r w:rsidR="00F5439F" w:rsidRPr="003628C3">
          <w:rPr>
            <w:color w:val="0000FF"/>
            <w:sz w:val="22"/>
            <w:szCs w:val="22"/>
            <w:u w:val="single" w:color="0000FF"/>
            <w:lang w:val="de-AT"/>
          </w:rPr>
          <w:t xml:space="preserve"> http://www.infrascanner.com</w:t>
        </w:r>
      </w:hyperlink>
      <w:r w:rsidR="00F5439F" w:rsidRPr="003628C3">
        <w:rPr>
          <w:sz w:val="22"/>
          <w:szCs w:val="22"/>
          <w:lang w:val="de-AT"/>
        </w:rPr>
        <w:t xml:space="preserve"> </w:t>
      </w:r>
    </w:p>
    <w:p w14:paraId="780D75E3" w14:textId="6A70D0A7" w:rsidR="005F56F5" w:rsidRPr="003628C3" w:rsidRDefault="00F5439F" w:rsidP="00CA22D0">
      <w:pPr>
        <w:pStyle w:val="a3"/>
        <w:ind w:left="100" w:right="8057"/>
        <w:jc w:val="both"/>
        <w:rPr>
          <w:sz w:val="22"/>
          <w:szCs w:val="22"/>
          <w:lang w:val="de-AT"/>
        </w:rPr>
      </w:pPr>
      <w:r w:rsidRPr="003628C3">
        <w:rPr>
          <w:sz w:val="22"/>
          <w:szCs w:val="22"/>
          <w:lang w:val="de-AT"/>
        </w:rPr>
        <w:t>16035665149</w:t>
      </w:r>
    </w:p>
    <w:p w14:paraId="37707F13" w14:textId="77777777" w:rsidR="005F56F5" w:rsidRPr="003628C3" w:rsidRDefault="005F56F5" w:rsidP="00CA22D0">
      <w:pPr>
        <w:pStyle w:val="a3"/>
        <w:jc w:val="both"/>
        <w:rPr>
          <w:sz w:val="22"/>
          <w:szCs w:val="22"/>
          <w:lang w:val="de-AT"/>
        </w:rPr>
      </w:pPr>
    </w:p>
    <w:p w14:paraId="71C7CE3F" w14:textId="65F41693" w:rsidR="005F56F5" w:rsidRPr="00CA22D0" w:rsidRDefault="00F5439F" w:rsidP="00CA22D0">
      <w:pPr>
        <w:pStyle w:val="1"/>
        <w:spacing w:before="161"/>
        <w:jc w:val="both"/>
        <w:rPr>
          <w:sz w:val="22"/>
          <w:szCs w:val="22"/>
          <w:lang w:val="ru-RU"/>
        </w:rPr>
      </w:pPr>
      <w:r w:rsidRPr="00CA22D0">
        <w:rPr>
          <w:sz w:val="22"/>
          <w:szCs w:val="22"/>
          <w:lang w:val="ru"/>
        </w:rPr>
        <w:t>Онлайн Веб версия 2.0</w:t>
      </w:r>
    </w:p>
    <w:p w14:paraId="1B5E99A8" w14:textId="6012F053" w:rsidR="005F56F5" w:rsidRPr="00CA22D0" w:rsidRDefault="00F5439F" w:rsidP="00CA22D0">
      <w:pPr>
        <w:pStyle w:val="a3"/>
        <w:ind w:left="100"/>
        <w:jc w:val="both"/>
        <w:rPr>
          <w:sz w:val="22"/>
          <w:szCs w:val="22"/>
          <w:lang w:val="ru-RU"/>
        </w:rPr>
      </w:pPr>
      <w:r w:rsidRPr="00CA22D0">
        <w:rPr>
          <w:sz w:val="22"/>
          <w:szCs w:val="22"/>
          <w:lang w:val="ru"/>
        </w:rPr>
        <w:t xml:space="preserve">Вы можете </w:t>
      </w:r>
      <w:r w:rsidR="00CA22D0" w:rsidRPr="00CA22D0">
        <w:rPr>
          <w:sz w:val="22"/>
          <w:szCs w:val="22"/>
          <w:lang w:val="ru"/>
        </w:rPr>
        <w:t>прочитать онлайн</w:t>
      </w:r>
      <w:r w:rsidRPr="00CA22D0">
        <w:rPr>
          <w:sz w:val="22"/>
          <w:szCs w:val="22"/>
          <w:lang w:val="ru"/>
        </w:rPr>
        <w:t xml:space="preserve">-версию этого пресс-релиза </w:t>
      </w:r>
      <w:hyperlink r:id="rId9">
        <w:r w:rsidRPr="00CA22D0">
          <w:rPr>
            <w:color w:val="0000FF"/>
            <w:sz w:val="22"/>
            <w:szCs w:val="22"/>
            <w:u w:val="single" w:color="0000FF"/>
            <w:lang w:val="ru"/>
          </w:rPr>
          <w:t>здесь</w:t>
        </w:r>
      </w:hyperlink>
      <w:r w:rsidRPr="00CA22D0">
        <w:rPr>
          <w:sz w:val="22"/>
          <w:szCs w:val="22"/>
          <w:lang w:val="ru"/>
        </w:rPr>
        <w:t>.</w:t>
      </w:r>
    </w:p>
    <w:p w14:paraId="17398731" w14:textId="77777777" w:rsidR="005F56F5" w:rsidRPr="00CA22D0" w:rsidRDefault="005F56F5" w:rsidP="00CA22D0">
      <w:pPr>
        <w:pStyle w:val="a3"/>
        <w:jc w:val="both"/>
        <w:rPr>
          <w:sz w:val="20"/>
          <w:lang w:val="ru-RU"/>
        </w:rPr>
      </w:pPr>
    </w:p>
    <w:sectPr w:rsidR="005F56F5" w:rsidRPr="00CA22D0" w:rsidSect="00357FC6">
      <w:headerReference w:type="default" r:id="rId10"/>
      <w:pgSz w:w="11910" w:h="16840"/>
      <w:pgMar w:top="1560" w:right="340" w:bottom="280" w:left="580" w:header="8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683C" w14:textId="77777777" w:rsidR="002042A2" w:rsidRDefault="002042A2">
      <w:r>
        <w:rPr>
          <w:lang w:val="ru"/>
        </w:rPr>
        <w:separator/>
      </w:r>
    </w:p>
  </w:endnote>
  <w:endnote w:type="continuationSeparator" w:id="0">
    <w:p w14:paraId="5720DB8C" w14:textId="77777777" w:rsidR="002042A2" w:rsidRDefault="002042A2">
      <w:r>
        <w:rPr>
          <w:lang w:val="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34AB" w14:textId="77777777" w:rsidR="002042A2" w:rsidRDefault="002042A2">
      <w:r>
        <w:rPr>
          <w:lang w:val="ru"/>
        </w:rPr>
        <w:separator/>
      </w:r>
    </w:p>
  </w:footnote>
  <w:footnote w:type="continuationSeparator" w:id="0">
    <w:p w14:paraId="5C5C38B4" w14:textId="77777777" w:rsidR="002042A2" w:rsidRDefault="002042A2">
      <w:r>
        <w:rPr>
          <w:lang w:val="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D855" w14:textId="77777777" w:rsidR="005F56F5" w:rsidRDefault="00F5439F">
    <w:pPr>
      <w:pStyle w:val="a3"/>
      <w:spacing w:line="14" w:lineRule="auto"/>
      <w:rPr>
        <w:sz w:val="20"/>
      </w:rPr>
    </w:pPr>
    <w:r>
      <w:rPr>
        <w:noProof/>
        <w:lang w:val="ru"/>
      </w:rPr>
      <w:drawing>
        <wp:anchor distT="0" distB="0" distL="0" distR="0" simplePos="0" relativeHeight="251659264" behindDoc="1" locked="0" layoutInCell="1" allowOverlap="1" wp14:anchorId="60D560B1" wp14:editId="74EB4070">
          <wp:simplePos x="0" y="0"/>
          <wp:positionH relativeFrom="page">
            <wp:posOffset>547067</wp:posOffset>
          </wp:positionH>
          <wp:positionV relativeFrom="page">
            <wp:posOffset>530547</wp:posOffset>
          </wp:positionV>
          <wp:extent cx="2186301" cy="598356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6301" cy="598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F5"/>
    <w:rsid w:val="002042A2"/>
    <w:rsid w:val="00357FC6"/>
    <w:rsid w:val="003628C3"/>
    <w:rsid w:val="005F56F5"/>
    <w:rsid w:val="006411F6"/>
    <w:rsid w:val="00CA22D0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24DB"/>
  <w15:docId w15:val="{6A4A7B32-01AF-4AF3-A2BB-2B5CAF31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60"/>
      <w:ind w:left="100" w:right="496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Placeholder Text"/>
    <w:basedOn w:val="a0"/>
    <w:uiPriority w:val="99"/>
    <w:semiHidden/>
    <w:rsid w:val="00CA22D0"/>
    <w:rPr>
      <w:color w:val="808080"/>
    </w:rPr>
  </w:style>
  <w:style w:type="paragraph" w:styleId="a7">
    <w:name w:val="header"/>
    <w:basedOn w:val="a"/>
    <w:link w:val="a8"/>
    <w:uiPriority w:val="99"/>
    <w:unhideWhenUsed/>
    <w:rsid w:val="00CA22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22D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A22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22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rascann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frascanner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web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prweb.com/releases/2022/02/prweb18499909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InfraScan объявляет о допуске FDA к первому ручному диагностическому...</dc:title>
  <dc:subject>InfraScanner в настоящее время является единственным портативным устройством, одобренным FDA для выявления травматического кровоизлияния в мозг у детей.</dc:subject>
  <dc:creator>David Clarke, Vice President of Business Development via PRWeb.com</dc:creator>
  <cp:keywords>Keywords go here</cp:keywords>
  <dc:description/>
  <cp:lastModifiedBy>Татьяна Скорук</cp:lastModifiedBy>
  <cp:revision>3</cp:revision>
  <dcterms:created xsi:type="dcterms:W3CDTF">2022-02-20T08:34:00Z</dcterms:created>
  <dcterms:modified xsi:type="dcterms:W3CDTF">2022-02-20T08:47:00Z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empira MigraDoc 1.31.3066 (www.migradoc.com)</vt:lpwstr>
  </property>
  <property fmtid="{D5CDD505-2E9C-101B-9397-08002B2CF9AE}" pid="4" name="LastSaved">
    <vt:filetime>2022-02-17T00:00:00Z</vt:filetime>
  </property>
</Properties>
</file>